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1" w:rsidRPr="00B272F1" w:rsidRDefault="00B272F1" w:rsidP="00B272F1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</w:pPr>
      <w:r w:rsidRPr="00B272F1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KOMUNIKACJA I BUDOWANIE RELACJI </w:t>
      </w:r>
      <w:r w:rsidR="002C5E7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11</w:t>
      </w:r>
      <w:r w:rsidRPr="00B272F1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.0</w:t>
      </w:r>
      <w:r w:rsidR="002C5E75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5</w:t>
      </w:r>
      <w:r w:rsidRPr="00B272F1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.2019</w:t>
      </w:r>
      <w:bookmarkStart w:id="0" w:name="_GoBack"/>
      <w:bookmarkEnd w:id="0"/>
    </w:p>
    <w:p w:rsidR="00B272F1" w:rsidRPr="00605EDF" w:rsidRDefault="00B272F1" w:rsidP="00B272F1">
      <w:pPr>
        <w:spacing w:after="24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eastAsia="pl-PL"/>
        </w:rPr>
      </w:pPr>
      <w:r w:rsidRPr="00605EDF">
        <w:rPr>
          <w:rFonts w:ascii="Arial" w:eastAsia="Times New Roman" w:hAnsi="Arial" w:cs="Arial"/>
          <w:bCs/>
          <w:i/>
          <w:color w:val="0070C0"/>
          <w:sz w:val="21"/>
          <w:szCs w:val="21"/>
          <w:lang w:eastAsia="pl-PL"/>
        </w:rPr>
        <w:t>Wszelkie działania to w dużej mierze budowanie relacji i nawiązywanie kontaktów, które stanowią fundament wielu udanych przedsięwzięć….. "Biznes to relacje między ludźmi nie liczby, gdyby było inaczej, najbogatsi byliby matematycy" - tak o relacjach mówił Jan Kulczyk. Choć wszyscy mamy świadomość tego, jaką rolę odgrywają relacje w naszym życiu zawodowym i prywatnym, to niezbyt często mamy czas na refleksję czy właściwie je budujemy…. Dzięki szkoleniu poznasz skuteczne narzędzia wspierające komunikację, budowania własnego wizerunku oraz trwałych relacji .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KORZYŚCI DLA UCZESTNIKA SZKOLENIA:</w:t>
      </w:r>
    </w:p>
    <w:p w:rsidR="00B272F1" w:rsidRPr="00B272F1" w:rsidRDefault="00B272F1" w:rsidP="00B272F1">
      <w:pPr>
        <w:spacing w:after="24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•Zdobędziesz wiedzę jak budować trwałe relacje z klientami, partnerami biznesowymi, współpracownikami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•Poznasz narzędzia doskonalenia komunikacji w biznesie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•Siła pytań - Będziesz wiedział w jaki sposób zadawać pytania prowadzące do rozwiązań, angażujące do współpracy, budując dobry kontakt, różne strategie zadawania pytań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•Zapoznasz się z typologią klienta; z różnymi stylami myślenia i działania •Będziesz wiedział jak rozpoznać potrzeby i motywacje klienta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•Zdobędziesz umiejętność dopasowania stylu komunikacji, sposobów dobierania argumentów w rozmowie stosownie do danego typu klienta oraz sytuacji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•Będziesz wiedział jak wykorzystać swoje mocne strony, swój potencjał w komunikacji, we współpracy z klientem, partnerem, współpracownikiem.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PROGRAM:</w:t>
      </w:r>
    </w:p>
    <w:p w:rsidR="00B272F1" w:rsidRPr="00B272F1" w:rsidRDefault="00B272F1" w:rsidP="00B272F1">
      <w:pPr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• 4 style osobowości wg CG Junga - typologia </w:t>
      </w:r>
      <w:proofErr w:type="spellStart"/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zachowań</w:t>
      </w:r>
      <w:proofErr w:type="spellEnd"/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•Rozpoznawanie wskazówek płynących z zachowania, mowy ciała, stylu wypowiedzi, z interakcji, zachowania pod wpływem stresu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•Preferencje komunikowania się osób o różnych stylach osobowości </w:t>
      </w:r>
      <w:r w:rsidRPr="00B272F1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•Budowanie wiarygodności rozmówców poprzez spójność komunikatów werbalnych i niewerbalnych •Czym dla prawnika jest komunikacja a czym dla klienta jest komunikacja ? - jakich błędów unikać •Efektywne narzędzia doskonalenia komunikacji w biznesie;</w:t>
      </w:r>
    </w:p>
    <w:p w:rsidR="00B272F1" w:rsidRPr="00B272F1" w:rsidRDefault="00B272F1" w:rsidP="00B272F1">
      <w:pPr>
        <w:spacing w:after="260"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aktywne słuchanie; parafraza, odzwierciedlenie, udzielanie konstruktywnej informacji zwrotnej</w:t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  <w:t>•Siła pytań w budowaniu relacji w biznesie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OPCJA DODATKOWA: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Szczególnie w ramach przedmiotowego szkolenia - rekomendowane jest wypełnienie indywidualnej diagnozy mocnych stron narzędziem DISC/BAI 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6564C">
        <w:rPr>
          <w:rFonts w:ascii="Arial" w:eastAsia="Times New Roman" w:hAnsi="Arial" w:cs="Arial"/>
          <w:color w:val="1F497D"/>
          <w:sz w:val="21"/>
          <w:szCs w:val="21"/>
          <w:lang w:eastAsia="pl-PL"/>
        </w:rPr>
        <w:t>Co określa i mierzy test kompetencji DISC/BAI?</w:t>
      </w:r>
    </w:p>
    <w:p w:rsidR="00B272F1" w:rsidRPr="0046564C" w:rsidRDefault="00B272F1" w:rsidP="00B272F1">
      <w:pPr>
        <w:spacing w:after="260"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•Styl komunikacji •Poziom decyzyjności, analitycznego myślenia •Samodzielność •Odporność na stres •Poziom koncentracji na wynikach, rezultatach • Mierzy siłę 6 postaw w miejscu pracy - wewnętrzne motywacje, które przekładają się na efekty i odpowiadają na pytanie; Co mnie motywuje, co daje mi poczucie spełnienia, satysfakcję z tego, co robię?</w:t>
      </w:r>
    </w:p>
    <w:p w:rsidR="00B272F1" w:rsidRPr="0046564C" w:rsidRDefault="00B272F1" w:rsidP="00B272F1">
      <w:pPr>
        <w:spacing w:after="0" w:line="240" w:lineRule="auto"/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CO OTRZYMUJE OSOBA DIAGNOZOWANA?</w:t>
      </w:r>
    </w:p>
    <w:p w:rsidR="0046564C" w:rsidRDefault="00B272F1" w:rsidP="00B272F1">
      <w:pPr>
        <w:spacing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•Indywidualny raport osobowościowy opisujący mocne strony; diagnozę Twoich naturalnych predyspozycji oraz wskazówki m.in., w jakich działaniach się najlepiej sprawdzasz, kiedy skutecznie podchodzisz do rozwiązywania problemów i jak komunikować się z osobami o Twoim lub innych Stylach Myślenia •Sugestie jakie kompetencje rozwijać + indywidualny plan rozwojowy</w:t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Pr="0046564C">
        <w:rPr>
          <w:rFonts w:ascii="Arial" w:eastAsia="Times New Roman" w:hAnsi="Arial" w:cs="Arial"/>
          <w:b/>
          <w:color w:val="313131"/>
          <w:sz w:val="26"/>
          <w:szCs w:val="26"/>
          <w:lang w:eastAsia="pl-PL"/>
        </w:rPr>
        <w:t>JAK TO ROBIMY ?</w:t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 </w:t>
      </w:r>
    </w:p>
    <w:p w:rsidR="00B272F1" w:rsidRPr="00B272F1" w:rsidRDefault="00B272F1" w:rsidP="00B272F1">
      <w:pPr>
        <w:spacing w:line="240" w:lineRule="auto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lastRenderedPageBreak/>
        <w:t>•ON LINE</w:t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t> </w:t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Pr="00B272F1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="0046564C"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Koszt diagnozy mocnych stron DISC/BAI</w:t>
      </w: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;</w:t>
      </w: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299 ZŁ NETTO +23%vat-  dla prawników zrzeszonych w OIRP </w:t>
      </w:r>
      <w:r w:rsidRPr="0046564C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449 zł NETTO +23 %vat - cena regularna</w:t>
      </w:r>
    </w:p>
    <w:p w:rsidR="00300C77" w:rsidRDefault="00300C77"/>
    <w:p w:rsidR="00E52FA0" w:rsidRDefault="00300C77">
      <w:r w:rsidRPr="00300C77">
        <w:t>http://www.przestrzen-rozwoju.com.pl/akademia-prawnika</w:t>
      </w:r>
    </w:p>
    <w:sectPr w:rsidR="00E5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1"/>
    <w:rsid w:val="002C5E75"/>
    <w:rsid w:val="00300C77"/>
    <w:rsid w:val="0046564C"/>
    <w:rsid w:val="00605EDF"/>
    <w:rsid w:val="00B272F1"/>
    <w:rsid w:val="00E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89E8"/>
  <w15:chartTrackingRefBased/>
  <w15:docId w15:val="{0A05FCFD-EA71-4493-8EBB-A2F84FE0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7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72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272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8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sabina.kaminska123@outlook.com</cp:lastModifiedBy>
  <cp:revision>5</cp:revision>
  <dcterms:created xsi:type="dcterms:W3CDTF">2019-03-04T07:51:00Z</dcterms:created>
  <dcterms:modified xsi:type="dcterms:W3CDTF">2019-03-22T11:24:00Z</dcterms:modified>
</cp:coreProperties>
</file>